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20" w:lineRule="exact"/>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spacing w:after="0" w:line="620" w:lineRule="exact"/>
        <w:ind w:left="0" w:leftChars="0" w:firstLine="0" w:firstLineChars="0"/>
        <w:jc w:val="both"/>
        <w:rPr>
          <w:rFonts w:hint="eastAsia" w:ascii="Times New Roman" w:hAnsi="Times New Roman" w:eastAsia="方正小标宋简体" w:cs="Times New Roman"/>
          <w:sz w:val="44"/>
          <w:szCs w:val="48"/>
          <w:lang w:val="en-US" w:eastAsia="zh-CN"/>
        </w:rPr>
      </w:pPr>
    </w:p>
    <w:p>
      <w:pPr>
        <w:pStyle w:val="2"/>
        <w:spacing w:after="0" w:line="620" w:lineRule="exact"/>
        <w:ind w:left="0" w:leftChars="0" w:firstLine="0" w:firstLineChars="0"/>
        <w:jc w:val="center"/>
        <w:rPr>
          <w:rFonts w:ascii="Times New Roman" w:hAnsi="Times New Roman" w:eastAsia="方正小标宋简体" w:cs="Times New Roman"/>
          <w:sz w:val="44"/>
          <w:szCs w:val="48"/>
          <w:lang w:eastAsia="zh-CN"/>
        </w:rPr>
      </w:pPr>
      <w:r>
        <w:rPr>
          <w:rFonts w:ascii="Times New Roman" w:hAnsi="Times New Roman" w:eastAsia="方正小标宋简体" w:cs="Times New Roman"/>
          <w:sz w:val="44"/>
          <w:szCs w:val="48"/>
        </w:rPr>
        <w:t>2022年</w:t>
      </w:r>
      <w:r>
        <w:rPr>
          <w:rFonts w:hint="eastAsia" w:ascii="Times New Roman" w:hAnsi="Times New Roman" w:eastAsia="方正小标宋简体" w:cs="Times New Roman"/>
          <w:sz w:val="44"/>
          <w:szCs w:val="48"/>
          <w:lang w:val="en-US" w:eastAsia="zh-CN"/>
        </w:rPr>
        <w:t>互联网协议第六版（</w:t>
      </w:r>
      <w:r>
        <w:rPr>
          <w:rFonts w:ascii="Times New Roman" w:hAnsi="Times New Roman" w:eastAsia="方正小标宋简体" w:cs="Times New Roman"/>
          <w:sz w:val="44"/>
          <w:szCs w:val="48"/>
          <w:lang w:eastAsia="zh-CN"/>
        </w:rPr>
        <w:t>IPv6</w:t>
      </w:r>
      <w:r>
        <w:rPr>
          <w:rFonts w:hint="eastAsia" w:ascii="Times New Roman" w:hAnsi="Times New Roman" w:eastAsia="方正小标宋简体" w:cs="Times New Roman"/>
          <w:sz w:val="44"/>
          <w:szCs w:val="48"/>
          <w:lang w:eastAsia="zh-CN"/>
        </w:rPr>
        <w:t>）</w:t>
      </w:r>
      <w:r>
        <w:rPr>
          <w:rFonts w:ascii="Times New Roman" w:hAnsi="Times New Roman" w:eastAsia="方正小标宋简体" w:cs="Times New Roman"/>
          <w:sz w:val="44"/>
          <w:szCs w:val="48"/>
          <w:lang w:eastAsia="zh-CN"/>
        </w:rPr>
        <w:t>规模部署和应用</w:t>
      </w:r>
      <w:r>
        <w:rPr>
          <w:rFonts w:hint="eastAsia" w:ascii="Times New Roman" w:hAnsi="Times New Roman" w:eastAsia="方正小标宋简体" w:cs="Times New Roman"/>
          <w:sz w:val="44"/>
          <w:szCs w:val="48"/>
          <w:lang w:val="en-US" w:eastAsia="zh-CN"/>
        </w:rPr>
        <w:t>优秀</w:t>
      </w:r>
      <w:r>
        <w:rPr>
          <w:rFonts w:ascii="Times New Roman" w:hAnsi="Times New Roman" w:eastAsia="方正小标宋简体" w:cs="Times New Roman"/>
          <w:sz w:val="44"/>
          <w:szCs w:val="48"/>
          <w:lang w:eastAsia="zh-CN"/>
        </w:rPr>
        <w:t>案例</w:t>
      </w:r>
      <w:r>
        <w:rPr>
          <w:rFonts w:hint="eastAsia" w:ascii="Times New Roman" w:hAnsi="Times New Roman" w:eastAsia="方正小标宋简体" w:cs="Times New Roman"/>
          <w:sz w:val="44"/>
          <w:szCs w:val="48"/>
          <w:highlight w:val="none"/>
          <w:lang w:val="en-US" w:eastAsia="zh-CN"/>
        </w:rPr>
        <w:t>拟</w:t>
      </w:r>
      <w:r>
        <w:rPr>
          <w:rFonts w:hint="eastAsia" w:ascii="Times New Roman" w:hAnsi="Times New Roman" w:eastAsia="方正小标宋简体" w:cs="Times New Roman"/>
          <w:sz w:val="44"/>
          <w:szCs w:val="48"/>
          <w:lang w:val="en-US" w:eastAsia="zh-CN"/>
        </w:rPr>
        <w:t>入选名单</w:t>
      </w:r>
    </w:p>
    <w:p>
      <w:pPr>
        <w:spacing w:line="620" w:lineRule="exact"/>
        <w:jc w:val="center"/>
        <w:rPr>
          <w:rFonts w:ascii="Times New Roman" w:hAnsi="Times New Roman" w:eastAsia="楷体" w:cs="Times New Roman"/>
          <w:sz w:val="32"/>
          <w:szCs w:val="32"/>
        </w:rPr>
      </w:pPr>
      <w:r>
        <w:rPr>
          <w:rFonts w:ascii="Times New Roman" w:hAnsi="Times New Roman" w:eastAsia="楷体" w:cs="Times New Roman"/>
          <w:sz w:val="32"/>
          <w:szCs w:val="32"/>
        </w:rPr>
        <w:t>（入选案例70个，排名不分</w:t>
      </w:r>
      <w:bookmarkStart w:id="0" w:name="_GoBack"/>
      <w:bookmarkEnd w:id="0"/>
      <w:r>
        <w:rPr>
          <w:rFonts w:ascii="Times New Roman" w:hAnsi="Times New Roman" w:eastAsia="楷体" w:cs="Times New Roman"/>
          <w:sz w:val="32"/>
          <w:szCs w:val="32"/>
        </w:rPr>
        <w:t>先后）</w:t>
      </w:r>
    </w:p>
    <w:p>
      <w:pPr>
        <w:pStyle w:val="2"/>
        <w:spacing w:after="0" w:line="620" w:lineRule="exact"/>
        <w:ind w:left="420" w:firstLine="280"/>
        <w:rPr>
          <w:rFonts w:ascii="Times New Roman" w:hAnsi="Times New Roman" w:cs="Times New Roman"/>
          <w:lang w:eastAsia="zh-CN"/>
        </w:rPr>
      </w:pPr>
    </w:p>
    <w:tbl>
      <w:tblPr>
        <w:tblStyle w:val="13"/>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4527"/>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2498" w:type="pct"/>
            <w:vAlign w:val="center"/>
          </w:tcPr>
          <w:p>
            <w:pPr>
              <w:spacing w:line="240" w:lineRule="atLeast"/>
              <w:jc w:val="center"/>
              <w:textAlignment w:val="baseline"/>
              <w:rPr>
                <w:rFonts w:ascii="Times New Roman" w:hAnsi="Times New Roman" w:eastAsia="黑体" w:cs="Times New Roman"/>
                <w:sz w:val="24"/>
                <w:szCs w:val="24"/>
              </w:rPr>
            </w:pPr>
            <w:r>
              <w:rPr>
                <w:rFonts w:ascii="Times New Roman" w:hAnsi="Times New Roman" w:eastAsia="黑体" w:cs="Times New Roman"/>
                <w:sz w:val="24"/>
                <w:szCs w:val="24"/>
              </w:rPr>
              <w:t>案例名称</w:t>
            </w:r>
          </w:p>
        </w:tc>
        <w:tc>
          <w:tcPr>
            <w:tcW w:w="2176" w:type="pct"/>
            <w:vAlign w:val="center"/>
          </w:tcPr>
          <w:p>
            <w:pPr>
              <w:spacing w:line="240" w:lineRule="atLeast"/>
              <w:jc w:val="center"/>
              <w:textAlignment w:val="baseline"/>
              <w:rPr>
                <w:rFonts w:ascii="Times New Roman" w:hAnsi="Times New Roman" w:eastAsia="黑体" w:cs="Times New Roman"/>
                <w:sz w:val="24"/>
                <w:szCs w:val="24"/>
              </w:rPr>
            </w:pPr>
            <w:r>
              <w:rPr>
                <w:rFonts w:ascii="Times New Roman" w:hAnsi="Times New Roman" w:eastAsia="黑体" w:cs="Times New Roman"/>
                <w:sz w:val="24"/>
                <w:szCs w:val="24"/>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b/>
                <w:bCs/>
                <w:sz w:val="24"/>
                <w:szCs w:val="24"/>
              </w:rPr>
              <w:t>网络和应用基础设施类（22个）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全面协同，加快推进物联网IPv6能力建设及推广</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spacing w:val="-6"/>
                <w:kern w:val="0"/>
                <w:sz w:val="24"/>
                <w:szCs w:val="24"/>
                <w:lang w:bidi="ar"/>
              </w:rPr>
              <w:t>构筑“IPv6+”新基建 打造数字经济新引擎</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中国联合网络通信有限公司河北省分公司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基于SRv6+SDN的智能城域网络演进</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中国联合网络通信有限公司江苏省分公司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基于“IPv6+”的5G承载及行业平台应用</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中国联合网络通信有限公司湖北省分公司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南方电网数据网络IPv6规模化改造实践，助力数字电网建设</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中国南方电网电力调度控制中心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“IPv6+”在新型互联网交换中心的应用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上海市新型互联网交换中心有限责任公司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持续推进IPv6规模部署和应用 推动互联网“高速公路”演进升级</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湖北省广播电视信息网络股份有限公司武汉分公司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基于IPv6协议的天津市全民健康平台基础网络</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天津市卫生健康委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壮美广西·政务云IPv6改造实践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广西壮族自治区信息中心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网络赋能、应用落地，实现IPv6规模部署</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北方工业大学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基于SDN网络的IPv6规模化部署与实践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北京理工大学珠海学院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基于IPv6的哑终端管理平台</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华中师范大学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双栈网络全覆盖，推动IPv6从规模部署走向创新应用实践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淮阴工学院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双栈技术和反向代理实现IPv6访问</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辽宁师范大学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15</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基于零信任架构的IPv6校园网设计与应用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16</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西北农林科技大学IPv6网络与应用规模部署实践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17</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推进IPv6规模部署，夯实数字化转型底座</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北京银行股份有限公司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18</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IPv6规模部署下的网络基础设施建设与应用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北京农村商业银行股份有限公司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19</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中小银行IPv6部署实践分享</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桂林银行股份有限公司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20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阿里园区网IPv6规模化部署与应用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21</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面向专有云场景的IPv6网络解决方案</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腾讯云计算（北京）有限责任公司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spacing w:line="240" w:lineRule="atLeas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22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IPv6应用性能监测，助力企业“IPv6+”应用规模化实施</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网宿科技股份有限公司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lang w:bidi="ar"/>
              </w:rPr>
              <w:t>互联网商业应用类（9个）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23</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钉钉全链路IPv6-only改造</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钉钉科技有限公司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讯飞输入法IPv6双栈改造实践</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25</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移动应用全生命周期IPv6改造的解决方案</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三七互娱（上海）科技有限公司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26</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得物App助力下一代互联网技术IPv6升级部署案例</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上海识装信息科技有限公司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27</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润物无声，微信无感平滑升级IPv6</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28</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QQ海量服务稳步升级IPv6方案，面向下一代互联网应用社交</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腾讯科技（深圳）有限公司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29</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点淘-淘宝直播IPv6双栈改造</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浙江点淘好物网络有限公司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基于同城双活下的手机银行IPv6应用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华夏银行股份有限公司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31</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智慧家庭应用IPv6改造</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中移（杭州）信息技术有限公司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lang w:bidi="ar"/>
              </w:rPr>
              <w:t>政务网络及政务应用类（12个）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32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IPv6环境下的省级政务集约化平台建设方案</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黑龙江省人民政府办公厅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33</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贵州省各级各类政府网站IPv4/IPv6双栈改造与统筹部署应用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贵州省人民政府办公厅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34</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江苏省电子政务外网IPv6规模部署和应用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江苏省大数据管理中心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35</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安徽政务服务网IPv6升级改造</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安徽省大数据中心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36</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山东省电子政务外网SRv6应用实践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山东省大数据中心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37</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天津市网络预约出租汽车监管平台IPv6改造和实践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天津市道路运输管理局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38</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highlight w:val="none"/>
                <w:lang w:bidi="ar"/>
              </w:rPr>
              <w:t>IPv6赋能金审工程三期审计专网建设</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天津市审计局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39</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无锡市政务云网及政府网站群IPv6双栈改造</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无锡市城市运行管理中心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雄安新区IPv4-IPv6互联互通系统及服务项目</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雄安新区数字城市建设领导小组办公室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41</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基于SRv6+FlexE+5G定制网络的固移融合广州政务网项目</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中国电信股份有限公司广州分公司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盐城市电子政务网IPv6双栈改造</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中国移动通信集团江苏有限公司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43</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highlight w:val="none"/>
                <w:lang w:bidi="ar"/>
              </w:rPr>
              <w:t>手机公积金平台IPv6改造项目</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河北神玥软件科技股份有限公司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rPr>
              <w:t>行业融合应用类</w:t>
            </w:r>
            <w:r>
              <w:rPr>
                <w:rFonts w:ascii="Times New Roman" w:hAnsi="Times New Roman" w:eastAsia="仿宋" w:cs="Times New Roman"/>
                <w:b/>
                <w:bCs/>
                <w:sz w:val="24"/>
                <w:szCs w:val="24"/>
                <w:lang w:bidi="ar"/>
              </w:rPr>
              <w: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IPv6单栈NB智能燃气应用</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天翼物联科技有限公司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45</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基于“IPv6+”的魔镜FIRST切片专网</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中国电信股份有限公司四川分公司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46</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以“IPv6+”关键技术为基础，构筑陕西新型就医模式</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中国移动通信集团陕西有限公司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47</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基于IPv6+5G专网的灾难医学应急救援应用探索</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上海市东方医院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48</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采用SDN+IPv6技术推进浦发银行总行园区网建设</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上海浦东发展银行股份有限公司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49</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基于“SD-WAN+SRv6”技术构建新一代城商行广域网</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基于IPv6的5G企业虚拟专网 筑基智慧电厂</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国家能源集团长源电力股份有限公司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51</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国家能源集团新能源领域IPv6大规模应用示范案例</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国家能源投资集团有限责任公司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52</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重庆市永川区“IPv6+”智慧交通融合创新应用</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重庆市永川区新城建设管理委员会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53</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基于端到端IPv6的新能源汽车产销一体化示范项目</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上海汽车集团股份有限公司乘用车分公司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陕西广电融媒体集团新型全媒体平台IPv6试点</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陕西广电融媒体集团有限公司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rPr>
              <w:t>终端产品支持类（3个）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55</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highlight w:val="none"/>
                <w:lang w:bidi="ar"/>
              </w:rPr>
              <w:t>基于IPv6网络的SDN网关流表转发实现IPTV机顶盒软化技术</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中国电信股份有限公司安徽分公司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56</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IPTV端到端IPv6单栈改造和流量提升</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中国移动通信集团北京有限公司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57</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石家庄市滨河“配电运检全透明”示范区</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石家庄科林电气股份有限公司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rPr>
              <w:t>关键技术创新类</w:t>
            </w:r>
            <w:r>
              <w:rPr>
                <w:rFonts w:ascii="Times New Roman" w:hAnsi="Times New Roman" w:eastAsia="仿宋" w:cs="Times New Roman"/>
                <w:b/>
                <w:bCs/>
                <w:sz w:val="24"/>
                <w:szCs w:val="24"/>
                <w:lang w:bidi="ar"/>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58</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多域纯IPv6技术现网验证</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中国电信股份有限公司研究院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59</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广域网SRv6智能流量调度</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中电信数智科技有限公司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60</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面向5G云数据中心网络IPv6技术创新与规模部署</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中国移动通信有限公司研究院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61</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中国联通新型组播</w:t>
            </w:r>
            <w:r>
              <w:rPr>
                <w:rFonts w:hint="eastAsia" w:ascii="Times New Roman" w:hAnsi="Times New Roman" w:eastAsia="仿宋" w:cs="Times New Roman"/>
                <w:kern w:val="0"/>
                <w:sz w:val="24"/>
                <w:szCs w:val="24"/>
                <w:highlight w:val="none"/>
                <w:lang w:eastAsia="zh-CN" w:bidi="ar"/>
              </w:rPr>
              <w:t>（</w:t>
            </w:r>
            <w:r>
              <w:rPr>
                <w:rFonts w:ascii="Times New Roman" w:hAnsi="Times New Roman" w:eastAsia="仿宋" w:cs="Times New Roman"/>
                <w:kern w:val="0"/>
                <w:sz w:val="24"/>
                <w:szCs w:val="24"/>
                <w:highlight w:val="none"/>
                <w:lang w:bidi="ar"/>
              </w:rPr>
              <w:t>BIERv6</w:t>
            </w:r>
            <w:r>
              <w:rPr>
                <w:rFonts w:hint="eastAsia" w:ascii="Times New Roman" w:hAnsi="Times New Roman" w:eastAsia="仿宋" w:cs="Times New Roman"/>
                <w:kern w:val="0"/>
                <w:sz w:val="24"/>
                <w:szCs w:val="24"/>
                <w:highlight w:val="none"/>
                <w:lang w:eastAsia="zh-CN" w:bidi="ar"/>
              </w:rPr>
              <w:t>）</w:t>
            </w:r>
            <w:r>
              <w:rPr>
                <w:rFonts w:ascii="Times New Roman" w:hAnsi="Times New Roman" w:eastAsia="仿宋" w:cs="Times New Roman"/>
                <w:kern w:val="0"/>
                <w:sz w:val="24"/>
                <w:szCs w:val="24"/>
                <w:lang w:bidi="ar"/>
              </w:rPr>
              <w:t>创新应用实践</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62</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基于“IPv6+”服务功能链技术的云网安一体化技术创新</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中国联合网络通信有限公司下一代互联网宽带业务应用国家工程研究中心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63</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5G物联网IPv6单栈服务能力部署</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中国联合网络通信有限公司广东省分公司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64</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IPv6代际升迁工程全景图 构筑IPv6基础底座</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国家市场监督管理总局信息中心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65</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江西省IPv6流量监测平台建设与应用</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国家计算机网络与信息安全管理中心江西分中心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textAlignment w:val="baseline"/>
              <w:rPr>
                <w:rFonts w:ascii="Times New Roman" w:hAnsi="Times New Roman" w:eastAsia="仿宋" w:cs="Times New Roman"/>
                <w:b/>
                <w:bCs/>
                <w:sz w:val="24"/>
                <w:szCs w:val="24"/>
                <w:lang w:bidi="ar"/>
              </w:rPr>
            </w:pPr>
            <w:r>
              <w:rPr>
                <w:rFonts w:ascii="Times New Roman" w:hAnsi="Times New Roman" w:eastAsia="仿宋" w:cs="Times New Roman"/>
                <w:b/>
                <w:bCs/>
                <w:sz w:val="24"/>
                <w:szCs w:val="24"/>
              </w:rPr>
              <w:t>产业生态培育类</w:t>
            </w:r>
            <w:r>
              <w:rPr>
                <w:rFonts w:ascii="Times New Roman" w:hAnsi="Times New Roman" w:eastAsia="仿宋" w:cs="Times New Roman"/>
                <w:b/>
                <w:bCs/>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66</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全球IPv6峰会</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下一代互联网关键技术和评测北京市工程研究中心有限公司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67</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IPv6规模部署和应用实战培育基地</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shd w:val="clear" w:color="auto" w:fill="auto"/>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68</w:t>
            </w:r>
          </w:p>
        </w:tc>
        <w:tc>
          <w:tcPr>
            <w:tcW w:w="2498"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基于IPv6的共建共享千兆宽带新业务解决方案</w:t>
            </w:r>
          </w:p>
        </w:tc>
        <w:tc>
          <w:tcPr>
            <w:tcW w:w="2176" w:type="pct"/>
            <w:shd w:val="clear" w:color="auto" w:fill="auto"/>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中国联合网络通信有限公司福建分公司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widowControl/>
              <w:spacing w:line="240" w:lineRule="atLeast"/>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网络安全保障类（2个）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69</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基于“IPv6+”网络的安全业务创新实践</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中国电信江苏省智能云网调度运营中心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pPr>
              <w:widowControl/>
              <w:spacing w:line="240" w:lineRule="atLeast"/>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70</w:t>
            </w:r>
          </w:p>
        </w:tc>
        <w:tc>
          <w:tcPr>
            <w:tcW w:w="2498"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新型电力系统下IPv6安全接入电力物联网</w:t>
            </w:r>
          </w:p>
        </w:tc>
        <w:tc>
          <w:tcPr>
            <w:tcW w:w="2176" w:type="pct"/>
            <w:vAlign w:val="center"/>
          </w:tcPr>
          <w:p>
            <w:pPr>
              <w:widowControl/>
              <w:spacing w:line="240" w:lineRule="atLeast"/>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国网浙江省电力有限公司信息通信分公司</w:t>
            </w:r>
          </w:p>
        </w:tc>
      </w:tr>
    </w:tbl>
    <w:p>
      <w:pPr>
        <w:spacing w:line="620" w:lineRule="exact"/>
        <w:rPr>
          <w:rFonts w:ascii="Times New Roman" w:hAnsi="Times New Roman" w:cs="Times New Roman"/>
        </w:rPr>
      </w:pPr>
    </w:p>
    <w:p>
      <w:pPr>
        <w:widowControl/>
        <w:spacing w:line="620" w:lineRule="exact"/>
        <w:jc w:val="left"/>
        <w:rPr>
          <w:rFonts w:ascii="Times New Roman" w:hAnsi="Times New Roman" w:eastAsia="仿宋" w:cs="Times New Roman"/>
          <w:sz w:val="32"/>
          <w:szCs w:val="32"/>
        </w:rPr>
      </w:pPr>
    </w:p>
    <w:sectPr>
      <w:footerReference r:id="rId3" w:type="default"/>
      <w:pgSz w:w="11906" w:h="16838"/>
      <w:pgMar w:top="2098" w:right="1474" w:bottom="1984" w:left="158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- 1 -</w:t>
                          </w:r>
                          <w:r>
                            <w:rPr>
                              <w:rFonts w:hint="eastAsia" w:ascii="仿宋" w:hAnsi="仿宋" w:eastAsia="仿宋" w:cs="仿宋"/>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- 1 -</w:t>
                    </w:r>
                    <w:r>
                      <w:rPr>
                        <w:rFonts w:hint="eastAsia" w:ascii="仿宋" w:hAnsi="仿宋" w:eastAsia="仿宋" w:cs="仿宋"/>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ODRlMDczZTJmNmQ3NmQ1M2UyNDY4NzMzODgyNjgifQ=="/>
  </w:docVars>
  <w:rsids>
    <w:rsidRoot w:val="005F4C08"/>
    <w:rsid w:val="00023157"/>
    <w:rsid w:val="000505AA"/>
    <w:rsid w:val="00081DFE"/>
    <w:rsid w:val="000944A9"/>
    <w:rsid w:val="000B68CB"/>
    <w:rsid w:val="000E41F4"/>
    <w:rsid w:val="001C58BB"/>
    <w:rsid w:val="001D7A46"/>
    <w:rsid w:val="002055E3"/>
    <w:rsid w:val="00216329"/>
    <w:rsid w:val="00231056"/>
    <w:rsid w:val="002978C2"/>
    <w:rsid w:val="002B1A06"/>
    <w:rsid w:val="002E5414"/>
    <w:rsid w:val="002F04F6"/>
    <w:rsid w:val="00304966"/>
    <w:rsid w:val="00305C28"/>
    <w:rsid w:val="00321ECB"/>
    <w:rsid w:val="0032634B"/>
    <w:rsid w:val="0036698A"/>
    <w:rsid w:val="00384F5A"/>
    <w:rsid w:val="00394BF4"/>
    <w:rsid w:val="003B7DD9"/>
    <w:rsid w:val="003F6FE6"/>
    <w:rsid w:val="00447848"/>
    <w:rsid w:val="00491E5C"/>
    <w:rsid w:val="00492989"/>
    <w:rsid w:val="00496B1A"/>
    <w:rsid w:val="004D53ED"/>
    <w:rsid w:val="004F24EC"/>
    <w:rsid w:val="00500E93"/>
    <w:rsid w:val="005568CB"/>
    <w:rsid w:val="0059206F"/>
    <w:rsid w:val="005A7B15"/>
    <w:rsid w:val="005B6CAB"/>
    <w:rsid w:val="005C4ED4"/>
    <w:rsid w:val="005D406E"/>
    <w:rsid w:val="005F4C08"/>
    <w:rsid w:val="006154B0"/>
    <w:rsid w:val="00636B35"/>
    <w:rsid w:val="006422C6"/>
    <w:rsid w:val="00672092"/>
    <w:rsid w:val="006C52B8"/>
    <w:rsid w:val="006D74C5"/>
    <w:rsid w:val="007B66CD"/>
    <w:rsid w:val="008100CD"/>
    <w:rsid w:val="00837456"/>
    <w:rsid w:val="00884795"/>
    <w:rsid w:val="008A1F56"/>
    <w:rsid w:val="009654E6"/>
    <w:rsid w:val="009A2D33"/>
    <w:rsid w:val="009C71DB"/>
    <w:rsid w:val="00A86AE5"/>
    <w:rsid w:val="00A9539B"/>
    <w:rsid w:val="00A976D3"/>
    <w:rsid w:val="00B315B9"/>
    <w:rsid w:val="00B572B5"/>
    <w:rsid w:val="00BA3E98"/>
    <w:rsid w:val="00BC2236"/>
    <w:rsid w:val="00BE0E20"/>
    <w:rsid w:val="00C33A15"/>
    <w:rsid w:val="00C6714D"/>
    <w:rsid w:val="00C947B6"/>
    <w:rsid w:val="00CD00A2"/>
    <w:rsid w:val="00CD55AB"/>
    <w:rsid w:val="00CE382E"/>
    <w:rsid w:val="00CF4216"/>
    <w:rsid w:val="00D27BEC"/>
    <w:rsid w:val="00D62E57"/>
    <w:rsid w:val="00D63BFB"/>
    <w:rsid w:val="00E00E6E"/>
    <w:rsid w:val="00E10409"/>
    <w:rsid w:val="00E86027"/>
    <w:rsid w:val="00E90F7D"/>
    <w:rsid w:val="00E9700F"/>
    <w:rsid w:val="00EA425C"/>
    <w:rsid w:val="00EE37AC"/>
    <w:rsid w:val="00F576C6"/>
    <w:rsid w:val="027933D8"/>
    <w:rsid w:val="03B2190A"/>
    <w:rsid w:val="05F01757"/>
    <w:rsid w:val="05F20463"/>
    <w:rsid w:val="08053D0F"/>
    <w:rsid w:val="08984D3E"/>
    <w:rsid w:val="0CC464B9"/>
    <w:rsid w:val="0CF113A8"/>
    <w:rsid w:val="0F462077"/>
    <w:rsid w:val="116F7316"/>
    <w:rsid w:val="11DC2A9B"/>
    <w:rsid w:val="13533A9C"/>
    <w:rsid w:val="14390CBA"/>
    <w:rsid w:val="15115C44"/>
    <w:rsid w:val="1A3454E1"/>
    <w:rsid w:val="1B9369B9"/>
    <w:rsid w:val="1F6B5D99"/>
    <w:rsid w:val="1FBD680C"/>
    <w:rsid w:val="21F30035"/>
    <w:rsid w:val="234D2A1E"/>
    <w:rsid w:val="23B742FE"/>
    <w:rsid w:val="25662BA7"/>
    <w:rsid w:val="25680F2D"/>
    <w:rsid w:val="2736085B"/>
    <w:rsid w:val="294F7973"/>
    <w:rsid w:val="29912614"/>
    <w:rsid w:val="2AC25B5D"/>
    <w:rsid w:val="2E12273B"/>
    <w:rsid w:val="2FBA554C"/>
    <w:rsid w:val="34FC0B39"/>
    <w:rsid w:val="391F069D"/>
    <w:rsid w:val="394F4CA6"/>
    <w:rsid w:val="3956774F"/>
    <w:rsid w:val="3B4411CA"/>
    <w:rsid w:val="3B7871D6"/>
    <w:rsid w:val="3B7C1855"/>
    <w:rsid w:val="3BBF026B"/>
    <w:rsid w:val="3C9C3CA4"/>
    <w:rsid w:val="3FA1231F"/>
    <w:rsid w:val="411036B0"/>
    <w:rsid w:val="43ED2666"/>
    <w:rsid w:val="44745F6D"/>
    <w:rsid w:val="454421A6"/>
    <w:rsid w:val="45E46438"/>
    <w:rsid w:val="46294B8B"/>
    <w:rsid w:val="48787E35"/>
    <w:rsid w:val="492D5EA9"/>
    <w:rsid w:val="496427F2"/>
    <w:rsid w:val="4B804A13"/>
    <w:rsid w:val="4ECD5BF2"/>
    <w:rsid w:val="525632B8"/>
    <w:rsid w:val="53EA048A"/>
    <w:rsid w:val="54A81A32"/>
    <w:rsid w:val="56664D4C"/>
    <w:rsid w:val="57A81D9B"/>
    <w:rsid w:val="57BD16D7"/>
    <w:rsid w:val="58493872"/>
    <w:rsid w:val="5B2C6129"/>
    <w:rsid w:val="5BF90B1E"/>
    <w:rsid w:val="5CEF6B40"/>
    <w:rsid w:val="5CF0270E"/>
    <w:rsid w:val="5D1A778C"/>
    <w:rsid w:val="5F0B1D8F"/>
    <w:rsid w:val="60820BC3"/>
    <w:rsid w:val="60F61A15"/>
    <w:rsid w:val="623E787C"/>
    <w:rsid w:val="635844B0"/>
    <w:rsid w:val="644B2EFF"/>
    <w:rsid w:val="64844859"/>
    <w:rsid w:val="66383C9D"/>
    <w:rsid w:val="675066FE"/>
    <w:rsid w:val="6A761A63"/>
    <w:rsid w:val="6B767FCD"/>
    <w:rsid w:val="6B9D62FA"/>
    <w:rsid w:val="6DE3210E"/>
    <w:rsid w:val="6DF94979"/>
    <w:rsid w:val="6EBB713D"/>
    <w:rsid w:val="6FB137A0"/>
    <w:rsid w:val="6FC95DB8"/>
    <w:rsid w:val="725E26FC"/>
    <w:rsid w:val="732E567F"/>
    <w:rsid w:val="74945729"/>
    <w:rsid w:val="74F437B1"/>
    <w:rsid w:val="76860F29"/>
    <w:rsid w:val="78A3552E"/>
    <w:rsid w:val="7BCB5803"/>
    <w:rsid w:val="7E3450DE"/>
    <w:rsid w:val="7F614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eastAsia="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80" w:leftChars="200" w:firstLine="210" w:firstLineChars="100"/>
      <w:jc w:val="left"/>
    </w:pPr>
    <w:rPr>
      <w:rFonts w:ascii="DFKai-SB" w:eastAsia="DFKai-SB"/>
      <w:sz w:val="28"/>
      <w:lang w:eastAsia="zh-TW"/>
    </w:rPr>
  </w:style>
  <w:style w:type="paragraph" w:styleId="3">
    <w:name w:val="Body Text Indent"/>
    <w:basedOn w:val="1"/>
    <w:qFormat/>
    <w:uiPriority w:val="0"/>
    <w:pPr>
      <w:spacing w:line="500" w:lineRule="exact"/>
      <w:ind w:left="1588" w:leftChars="832" w:firstLine="433" w:firstLineChars="196"/>
    </w:pPr>
    <w:rPr>
      <w:sz w:val="24"/>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szCs w:val="18"/>
    </w:rPr>
  </w:style>
  <w:style w:type="paragraph" w:styleId="11">
    <w:name w:val="Normal (Web)"/>
    <w:basedOn w:val="1"/>
    <w:qFormat/>
    <w:uiPriority w:val="99"/>
    <w:pPr>
      <w:spacing w:before="100" w:beforeAutospacing="1" w:after="100" w:afterAutospacing="1"/>
      <w:jc w:val="left"/>
    </w:pPr>
    <w:rPr>
      <w:rFonts w:cs="Times New Roman"/>
      <w:kern w:val="0"/>
      <w:sz w:val="24"/>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日期 字符"/>
    <w:basedOn w:val="14"/>
    <w:link w:val="6"/>
    <w:semiHidden/>
    <w:qFormat/>
    <w:uiPriority w:val="99"/>
  </w:style>
  <w:style w:type="paragraph" w:customStyle="1" w:styleId="20">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字符"/>
    <w:basedOn w:val="14"/>
    <w:link w:val="7"/>
    <w:semiHidden/>
    <w:qFormat/>
    <w:uiPriority w:val="99"/>
    <w:rPr>
      <w:rFonts w:ascii="等线" w:hAnsi="等线" w:eastAsia="等线" w:cs="宋体"/>
      <w:kern w:val="2"/>
      <w:sz w:val="18"/>
      <w:szCs w:val="18"/>
    </w:rPr>
  </w:style>
  <w:style w:type="paragraph" w:customStyle="1" w:styleId="2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24">
    <w:name w:val="font21"/>
    <w:basedOn w:val="14"/>
    <w:qFormat/>
    <w:uiPriority w:val="0"/>
    <w:rPr>
      <w:rFonts w:ascii="仿宋" w:hAnsi="仿宋" w:eastAsia="仿宋" w:cs="仿宋"/>
      <w:color w:val="000000"/>
      <w:sz w:val="24"/>
      <w:szCs w:val="24"/>
      <w:u w:val="none"/>
    </w:rPr>
  </w:style>
  <w:style w:type="character" w:customStyle="1" w:styleId="25">
    <w:name w:val="font01"/>
    <w:basedOn w:val="14"/>
    <w:qFormat/>
    <w:uiPriority w:val="0"/>
    <w:rPr>
      <w:rFonts w:hint="default" w:ascii="Times New Roman" w:hAnsi="Times New Roman" w:cs="Times New Roman"/>
      <w:color w:val="000000"/>
      <w:sz w:val="24"/>
      <w:szCs w:val="24"/>
      <w:u w:val="none"/>
    </w:rPr>
  </w:style>
  <w:style w:type="character" w:customStyle="1" w:styleId="26">
    <w:name w:val="font11"/>
    <w:basedOn w:val="14"/>
    <w:qFormat/>
    <w:uiPriority w:val="0"/>
    <w:rPr>
      <w:rFonts w:hint="default" w:ascii="Times New Roman" w:hAnsi="Times New Roman" w:cs="Times New Roman"/>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2264</Words>
  <Characters>2643</Characters>
  <Lines>43</Lines>
  <Paragraphs>12</Paragraphs>
  <TotalTime>9</TotalTime>
  <ScaleCrop>false</ScaleCrop>
  <LinksUpToDate>false</LinksUpToDate>
  <CharactersWithSpaces>2647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2022-09-28T08:47:00Z</dcterms:created>
  <dc:creator>dong dongxi</dc:creator>
  <cp:lastModifiedBy>Lenovo</cp:lastModifiedBy>
  <cp:lastPrinted>2022-10-26T06:31:00Z</cp:lastPrinted>
  <dcterms:modified xsi:type="dcterms:W3CDTF">2022-10-28T09:10:28Z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0ECD6BE088DD494BB4131220EE0F5312</vt:lpwstr>
  </property>
</Properties>
</file>